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98" w:rsidRDefault="00B75098" w:rsidP="00DA1E0C">
      <w:pPr>
        <w:pStyle w:val="Default"/>
        <w:rPr>
          <w:b/>
          <w:bCs/>
          <w:sz w:val="23"/>
          <w:szCs w:val="23"/>
        </w:rPr>
      </w:pPr>
    </w:p>
    <w:p w:rsidR="00B75098" w:rsidRDefault="00B75098" w:rsidP="00B750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ПРИРОДНО-РЕСУРСНЫЙ И ЭКОЛОГИЧЕСКИЙ ПОТЕНЦИАЛ</w:t>
      </w:r>
    </w:p>
    <w:p w:rsidR="00B75098" w:rsidRDefault="00B75098" w:rsidP="00B750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Земельные ресурсы</w:t>
      </w:r>
    </w:p>
    <w:p w:rsidR="00B75098" w:rsidRDefault="00B75098" w:rsidP="00B75098">
      <w:pPr>
        <w:pStyle w:val="Default"/>
        <w:rPr>
          <w:sz w:val="23"/>
          <w:szCs w:val="23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поселения располагает значительными по величине природными ресурсами. В их составе особое место занимают лесные и водные ресурсы. Их значение вырастает в связи с относительной близостью предприятий краевого центра - г. Перми.</w:t>
      </w: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Сенькинское сельское поселение обладает лесными ресурсами, которые являются средообразующим фактором, носителем биологического разнообразия, средой обитания животного и растительного мира, ресурсного потенциала, обеспечивающего устойчивость и безопасность экосистем. Лесной комплекс имеет большое значение для поселения. Общая площадь лесного фонда Добрянки и Добрянского района составляет 402,8 тыс. га.</w:t>
      </w: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богато подземными водами (пресными, минеральными и промышленными), находящимися в основном на глубине 20-100 метров. Основная река - Кама. На территории поселения больших озер нет.</w:t>
      </w: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ресурсы в границах Сенькинского сельского поселения составляют 36604, га, в том числе:</w:t>
      </w: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-земли  сельскохозяйственного  назначения   -14204, га от площади территории поселения;</w:t>
      </w:r>
    </w:p>
    <w:p w:rsidR="00B75098" w:rsidRDefault="00B75098" w:rsidP="00B750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Земли населенных пунктов 843 га    </w:t>
      </w: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-земли промышленности, энергетики, транспорта, связи – 173 га </w:t>
      </w: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-земли особо охраняемых территорий и объектов – 1649 га  </w:t>
      </w: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-земли лесного фонда -13192 га  </w:t>
      </w: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-земли водного фонда – 6543 га  </w:t>
      </w:r>
    </w:p>
    <w:p w:rsidR="00B75098" w:rsidRPr="00B75098" w:rsidRDefault="00B75098" w:rsidP="00B75098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>Структура земель Сенькинского сельского поселения  по категориям представлена в диаграмме:</w:t>
      </w:r>
    </w:p>
    <w:p w:rsidR="00B75098" w:rsidRDefault="00B75098" w:rsidP="00B75098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B75098" w:rsidRPr="007F2FAE" w:rsidRDefault="00B75098" w:rsidP="00B75098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2.1.</w:t>
      </w:r>
    </w:p>
    <w:p w:rsidR="00B75098" w:rsidRPr="004957C1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3025" cy="446722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5098" w:rsidRDefault="00B75098" w:rsidP="00B750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Водные ресурсы</w:t>
      </w:r>
    </w:p>
    <w:p w:rsidR="00B75098" w:rsidRDefault="00B75098" w:rsidP="00B75098">
      <w:pPr>
        <w:pStyle w:val="Default"/>
        <w:jc w:val="center"/>
        <w:rPr>
          <w:b/>
          <w:bCs/>
          <w:sz w:val="23"/>
          <w:szCs w:val="23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Центр Сенькинского сельского поселения связан с Добрянским муниципальным  районом (с.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Сенькино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-, г. Добрянка) грузопассажирской переправой Добрянка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Лябово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Сенькино, курсирующей с мая по октябрь (включительно) и играющей основную роль в транспортном обеспечении вышеуказанных населенных пунктов. </w:t>
      </w:r>
    </w:p>
    <w:p w:rsidR="00B75098" w:rsidRDefault="00B75098" w:rsidP="00B75098">
      <w:pPr>
        <w:pStyle w:val="Default"/>
        <w:ind w:firstLine="540"/>
        <w:jc w:val="both"/>
      </w:pPr>
      <w:r>
        <w:t xml:space="preserve"> Большим рекреационным потенциалом обладает река Кама. Река Кама  и ее притоки богаты рыбой, которую ловят как рыбаки-любители. Водятся в реке лещ, судак, сом, щука, жерех, другие виды рыб. Обилие воды и рыбы привлекает на Камский залив тысячи рыбаков из Пермского края и других территорий. </w:t>
      </w:r>
    </w:p>
    <w:p w:rsidR="00B75098" w:rsidRDefault="00B75098" w:rsidP="00B75098">
      <w:pPr>
        <w:pStyle w:val="Default"/>
        <w:ind w:firstLine="540"/>
        <w:jc w:val="both"/>
      </w:pPr>
      <w:r>
        <w:t xml:space="preserve">Приоритетным направлением в обеспечении доброкачественной питьевой водой населения является освоение подземных водных ресурсов. </w:t>
      </w:r>
    </w:p>
    <w:p w:rsidR="00B75098" w:rsidRDefault="00B75098" w:rsidP="00B75098">
      <w:pPr>
        <w:pStyle w:val="Default"/>
        <w:rPr>
          <w:sz w:val="23"/>
          <w:szCs w:val="23"/>
        </w:rPr>
      </w:pPr>
    </w:p>
    <w:p w:rsidR="00B75098" w:rsidRDefault="00B75098" w:rsidP="00B750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Лесные ресурсы</w:t>
      </w:r>
    </w:p>
    <w:p w:rsidR="00B75098" w:rsidRDefault="00B75098" w:rsidP="00B75098">
      <w:pPr>
        <w:pStyle w:val="Default"/>
        <w:jc w:val="center"/>
        <w:rPr>
          <w:b/>
          <w:bCs/>
          <w:sz w:val="23"/>
          <w:szCs w:val="23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Лесная растительность распространена по всей территории, но основательно разрежена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интенсивными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лесопорубками прошлых лет. 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Леса преимущественно темно- и светлохвойные (ель, пихта, сосна) и мелколиственные (береза, осина), встречается и представитель широколиственных – липа.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Лесные территории, прилегающие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098" w:rsidRDefault="00B75098" w:rsidP="00B750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населенным пунктам в радиусе 5-10 км  используется для сбора ягод, грибов в личных и коммерческих целях, сенокошения.</w:t>
      </w: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Pr="009A4E33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Леса на востоке Сенькинского СП в пределах охраняемого ландшафта «Верхкважва»   предложено для использования в научных целях.</w:t>
      </w:r>
    </w:p>
    <w:p w:rsidR="00B75098" w:rsidRDefault="00B75098" w:rsidP="00B75098">
      <w:pPr>
        <w:pStyle w:val="Default"/>
        <w:jc w:val="center"/>
        <w:rPr>
          <w:b/>
          <w:bCs/>
          <w:sz w:val="23"/>
          <w:szCs w:val="23"/>
        </w:rPr>
      </w:pPr>
    </w:p>
    <w:p w:rsidR="00B75098" w:rsidRDefault="00B75098" w:rsidP="00B75098">
      <w:pPr>
        <w:pStyle w:val="Default"/>
        <w:jc w:val="center"/>
        <w:rPr>
          <w:b/>
          <w:bCs/>
          <w:sz w:val="23"/>
          <w:szCs w:val="23"/>
        </w:rPr>
      </w:pPr>
    </w:p>
    <w:p w:rsidR="00B75098" w:rsidRDefault="00B75098" w:rsidP="00B75098">
      <w:pPr>
        <w:pStyle w:val="Default"/>
        <w:jc w:val="center"/>
        <w:rPr>
          <w:b/>
          <w:bCs/>
          <w:sz w:val="23"/>
          <w:szCs w:val="23"/>
        </w:rPr>
      </w:pPr>
    </w:p>
    <w:p w:rsidR="00B75098" w:rsidRDefault="00B75098" w:rsidP="00B750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Минерально-сырьевые ресурсы</w:t>
      </w:r>
    </w:p>
    <w:p w:rsidR="00B75098" w:rsidRDefault="00B75098" w:rsidP="00B75098">
      <w:pPr>
        <w:pStyle w:val="Default"/>
        <w:jc w:val="center"/>
        <w:rPr>
          <w:sz w:val="23"/>
          <w:szCs w:val="23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Сенькинское сельское поселение богато минерально-сырьевыми ресурсами. В настоящее время главная роль в недропользовании принадлежит нефтедобыче, что связано с активным освоением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Каменоложского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 нефти и газа. В 80-е гг. через территорию проведен магистральный газопровод "Ямбург - Тула". На сегодняшний день территория Сенькинского сельского поселения не имеет  газопровода для хозяйственных и бытовых нужд населения. Снабжение населения проводится за счет   сжиженного газа. Доставкой  сжиженного газа занимается ООО  "Синтез-Н" г. Пермь.</w:t>
      </w: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1E0C" w:rsidRDefault="00DA1E0C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1E0C" w:rsidRDefault="00DA1E0C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1E0C" w:rsidRDefault="00DA1E0C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Трудовые ресурсы</w:t>
      </w:r>
    </w:p>
    <w:p w:rsidR="00B75098" w:rsidRDefault="00B75098" w:rsidP="00B75098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b/>
          <w:sz w:val="23"/>
          <w:szCs w:val="23"/>
        </w:rPr>
        <w:t>Демографическая ситуация в поселении.</w:t>
      </w:r>
    </w:p>
    <w:p w:rsidR="00B75098" w:rsidRDefault="00B75098" w:rsidP="00B75098">
      <w:pPr>
        <w:pStyle w:val="Default"/>
        <w:jc w:val="center"/>
        <w:rPr>
          <w:b/>
          <w:sz w:val="23"/>
          <w:szCs w:val="23"/>
        </w:rPr>
      </w:pPr>
    </w:p>
    <w:p w:rsidR="00B75098" w:rsidRDefault="00B75098" w:rsidP="00B7509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На 1 января 2014 года численность постоянного населения Сенькинского сельского поселения  составила 1 509  человек.</w:t>
      </w:r>
    </w:p>
    <w:p w:rsidR="00B75098" w:rsidRDefault="00B75098" w:rsidP="00B7509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Средняя плотность населения в районе невысокая и составляет 2  чел/ кв. км.</w:t>
      </w:r>
    </w:p>
    <w:p w:rsidR="00B75098" w:rsidRDefault="00B75098" w:rsidP="00B7509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Основные демографические показатели, характеризующие район, представлены в таблице 2.2</w:t>
      </w:r>
    </w:p>
    <w:p w:rsidR="00B75098" w:rsidRDefault="00B75098" w:rsidP="00B75098">
      <w:pPr>
        <w:pStyle w:val="Default"/>
        <w:jc w:val="center"/>
        <w:rPr>
          <w:b/>
          <w:bCs/>
          <w:sz w:val="23"/>
          <w:szCs w:val="23"/>
        </w:rPr>
      </w:pPr>
    </w:p>
    <w:p w:rsidR="00B75098" w:rsidRDefault="00B75098" w:rsidP="00B75098">
      <w:pPr>
        <w:pStyle w:val="Default"/>
        <w:jc w:val="center"/>
        <w:rPr>
          <w:b/>
          <w:bCs/>
          <w:sz w:val="23"/>
          <w:szCs w:val="23"/>
        </w:rPr>
      </w:pPr>
    </w:p>
    <w:p w:rsidR="00B75098" w:rsidRDefault="00B75098" w:rsidP="00B750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Основные демографические показатели</w:t>
      </w:r>
      <w:r>
        <w:rPr>
          <w:sz w:val="23"/>
          <w:szCs w:val="23"/>
        </w:rPr>
        <w:t xml:space="preserve">                                                    </w:t>
      </w:r>
    </w:p>
    <w:p w:rsidR="00B75098" w:rsidRDefault="00B75098" w:rsidP="00B75098">
      <w:pPr>
        <w:pStyle w:val="Default"/>
        <w:jc w:val="right"/>
        <w:rPr>
          <w:sz w:val="16"/>
          <w:szCs w:val="16"/>
        </w:rPr>
      </w:pPr>
    </w:p>
    <w:p w:rsidR="00B75098" w:rsidRDefault="00B75098" w:rsidP="00B75098">
      <w:pPr>
        <w:pStyle w:val="Default"/>
        <w:jc w:val="right"/>
        <w:rPr>
          <w:sz w:val="16"/>
          <w:szCs w:val="16"/>
        </w:rPr>
      </w:pPr>
    </w:p>
    <w:p w:rsidR="00B75098" w:rsidRDefault="00B75098" w:rsidP="00B75098">
      <w:pPr>
        <w:pStyle w:val="Default"/>
        <w:jc w:val="right"/>
        <w:rPr>
          <w:sz w:val="16"/>
          <w:szCs w:val="16"/>
        </w:rPr>
      </w:pPr>
    </w:p>
    <w:p w:rsidR="00B75098" w:rsidRDefault="00B75098" w:rsidP="00B7509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Таблица 2.2 </w:t>
      </w:r>
    </w:p>
    <w:p w:rsidR="00B75098" w:rsidRDefault="00B75098" w:rsidP="00B75098">
      <w:pPr>
        <w:ind w:left="720"/>
        <w:rPr>
          <w:b/>
          <w:bCs/>
          <w:sz w:val="22"/>
          <w:szCs w:val="22"/>
        </w:rPr>
      </w:pPr>
    </w:p>
    <w:p w:rsidR="00B75098" w:rsidRDefault="00B75098" w:rsidP="00B75098">
      <w:pPr>
        <w:ind w:left="720"/>
        <w:jc w:val="center"/>
        <w:rPr>
          <w:b/>
          <w:bCs/>
          <w:sz w:val="22"/>
          <w:szCs w:val="22"/>
        </w:rPr>
      </w:pPr>
    </w:p>
    <w:p w:rsidR="00B75098" w:rsidRDefault="00B75098" w:rsidP="00B75098">
      <w:pPr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Численность постоянного населения</w:t>
      </w:r>
    </w:p>
    <w:p w:rsidR="00B75098" w:rsidRDefault="00B75098" w:rsidP="00B75098">
      <w:pPr>
        <w:pStyle w:val="Default"/>
        <w:jc w:val="right"/>
        <w:rPr>
          <w:sz w:val="16"/>
          <w:szCs w:val="16"/>
        </w:rPr>
      </w:pPr>
    </w:p>
    <w:p w:rsidR="00B75098" w:rsidRDefault="00B75098" w:rsidP="00B75098">
      <w:pPr>
        <w:ind w:left="72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5295900" cy="31146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5098" w:rsidRDefault="00B75098" w:rsidP="00B75098">
      <w:pPr>
        <w:pStyle w:val="Default"/>
        <w:jc w:val="right"/>
        <w:rPr>
          <w:sz w:val="16"/>
          <w:szCs w:val="16"/>
        </w:rPr>
      </w:pPr>
    </w:p>
    <w:p w:rsidR="00B75098" w:rsidRDefault="00B75098" w:rsidP="00B75098">
      <w:pPr>
        <w:pStyle w:val="Default"/>
        <w:jc w:val="right"/>
        <w:rPr>
          <w:sz w:val="16"/>
          <w:szCs w:val="16"/>
        </w:rPr>
      </w:pPr>
    </w:p>
    <w:p w:rsidR="00B75098" w:rsidRDefault="00B75098" w:rsidP="00B7509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Таблица 2.3</w:t>
      </w:r>
    </w:p>
    <w:p w:rsidR="00B75098" w:rsidRDefault="00B75098" w:rsidP="00B75098">
      <w:pPr>
        <w:ind w:left="720"/>
        <w:rPr>
          <w:b/>
          <w:bCs/>
          <w:sz w:val="22"/>
          <w:szCs w:val="22"/>
        </w:rPr>
      </w:pPr>
    </w:p>
    <w:p w:rsidR="00B75098" w:rsidRDefault="00B75098" w:rsidP="00B75098">
      <w:pPr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Число родившихся и умерших в динамике, человек</w:t>
      </w:r>
    </w:p>
    <w:p w:rsidR="00B75098" w:rsidRDefault="00B75098" w:rsidP="00B75098">
      <w:pPr>
        <w:ind w:left="720"/>
        <w:rPr>
          <w:b/>
          <w:bCs/>
          <w:sz w:val="22"/>
          <w:szCs w:val="22"/>
        </w:rPr>
      </w:pPr>
    </w:p>
    <w:p w:rsidR="00B75098" w:rsidRDefault="00B75098" w:rsidP="00B75098">
      <w:pPr>
        <w:pStyle w:val="Default"/>
        <w:jc w:val="right"/>
        <w:rPr>
          <w:sz w:val="16"/>
          <w:szCs w:val="16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5762625" cy="26384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sz w:val="16"/>
          <w:szCs w:val="16"/>
        </w:rPr>
        <w:t xml:space="preserve"> </w:t>
      </w:r>
    </w:p>
    <w:p w:rsidR="00B75098" w:rsidRDefault="00B75098" w:rsidP="00B75098">
      <w:pPr>
        <w:pStyle w:val="Default"/>
        <w:jc w:val="right"/>
        <w:rPr>
          <w:sz w:val="16"/>
          <w:szCs w:val="16"/>
        </w:rPr>
      </w:pPr>
    </w:p>
    <w:p w:rsidR="00B75098" w:rsidRDefault="00B75098" w:rsidP="00B7509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Таблица 2.4</w:t>
      </w:r>
    </w:p>
    <w:p w:rsidR="00B75098" w:rsidRDefault="00B75098" w:rsidP="00B75098">
      <w:pPr>
        <w:ind w:left="720"/>
        <w:rPr>
          <w:b/>
          <w:bCs/>
          <w:sz w:val="22"/>
          <w:szCs w:val="22"/>
        </w:rPr>
      </w:pPr>
    </w:p>
    <w:p w:rsidR="00B75098" w:rsidRDefault="00B75098" w:rsidP="00B75098">
      <w:pPr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Численность прибывшего и выбывшего населения</w:t>
      </w:r>
    </w:p>
    <w:p w:rsidR="00B75098" w:rsidRDefault="00B75098" w:rsidP="00B75098">
      <w:pPr>
        <w:ind w:left="72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5686425" cy="23050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5098" w:rsidRPr="009A4E33" w:rsidRDefault="00B75098" w:rsidP="00B75098">
      <w:pPr>
        <w:pStyle w:val="Default"/>
        <w:ind w:firstLine="708"/>
        <w:jc w:val="both"/>
        <w:rPr>
          <w:color w:val="F79646"/>
        </w:rPr>
      </w:pPr>
      <w:r>
        <w:rPr>
          <w:color w:val="auto"/>
        </w:rPr>
        <w:t xml:space="preserve">Отрицательная тенденция динамики численности постоянного населения связана, прежде всего, с естественной убылью населения. В течение ряда лет смертность в поселении превышает рождаемость. </w:t>
      </w:r>
    </w:p>
    <w:p w:rsidR="00B75098" w:rsidRDefault="00B75098" w:rsidP="00B7509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Таким образом, риск развития Сенькинского сельского поселения – снижение численности населения. </w:t>
      </w:r>
    </w:p>
    <w:p w:rsidR="00B75098" w:rsidRDefault="00B75098" w:rsidP="00B7509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Задача программы - стабилизация численности населения за счет увеличения продолжительности жизни, снижения заболеваемости и смертности, стимулирования положительной миграции. </w:t>
      </w:r>
    </w:p>
    <w:p w:rsidR="00B75098" w:rsidRDefault="00B75098" w:rsidP="00B75098">
      <w:pPr>
        <w:pStyle w:val="Default"/>
        <w:rPr>
          <w:color w:val="FF0000"/>
        </w:rPr>
      </w:pPr>
    </w:p>
    <w:p w:rsidR="00B75098" w:rsidRDefault="00B75098" w:rsidP="00B75098">
      <w:pPr>
        <w:pStyle w:val="Default"/>
        <w:jc w:val="center"/>
      </w:pPr>
      <w:r>
        <w:rPr>
          <w:b/>
          <w:bCs/>
        </w:rPr>
        <w:t xml:space="preserve">2. </w:t>
      </w:r>
      <w:r>
        <w:t>Возрастной состав</w:t>
      </w:r>
    </w:p>
    <w:p w:rsidR="00B75098" w:rsidRDefault="00B75098" w:rsidP="00B75098">
      <w:pPr>
        <w:pStyle w:val="Default"/>
        <w:jc w:val="center"/>
      </w:pPr>
    </w:p>
    <w:p w:rsidR="00B75098" w:rsidRDefault="00B75098" w:rsidP="00B75098">
      <w:pPr>
        <w:pStyle w:val="Default"/>
        <w:ind w:firstLine="540"/>
        <w:jc w:val="both"/>
      </w:pPr>
      <w:r>
        <w:t xml:space="preserve">Важнейшим показателем повышения качества жизни населения является удельный вес в структуре населения людей трудоспособного возраста. </w:t>
      </w:r>
    </w:p>
    <w:p w:rsidR="00B75098" w:rsidRDefault="00B75098" w:rsidP="00B75098">
      <w:pPr>
        <w:pStyle w:val="Default"/>
        <w:ind w:firstLine="540"/>
        <w:jc w:val="both"/>
      </w:pPr>
      <w:r>
        <w:t xml:space="preserve">В структуре населения поселения более половины составляет трудоспособное население (47,5%), моложе трудоспособного возраста- 20,3 % , старше трудоспособного возраста- 32,2%. </w:t>
      </w:r>
    </w:p>
    <w:p w:rsidR="00B75098" w:rsidRDefault="00B75098" w:rsidP="00B75098">
      <w:pPr>
        <w:pStyle w:val="Default"/>
        <w:jc w:val="right"/>
        <w:rPr>
          <w:sz w:val="16"/>
          <w:szCs w:val="16"/>
        </w:rPr>
      </w:pPr>
    </w:p>
    <w:p w:rsidR="00B75098" w:rsidRDefault="00B75098" w:rsidP="00B75098">
      <w:pPr>
        <w:pStyle w:val="Default"/>
        <w:jc w:val="right"/>
        <w:rPr>
          <w:sz w:val="16"/>
          <w:szCs w:val="16"/>
        </w:rPr>
      </w:pPr>
    </w:p>
    <w:p w:rsidR="00B75098" w:rsidRDefault="00B75098" w:rsidP="00B75098">
      <w:pPr>
        <w:pStyle w:val="Default"/>
        <w:jc w:val="right"/>
        <w:rPr>
          <w:sz w:val="16"/>
          <w:szCs w:val="16"/>
        </w:rPr>
      </w:pPr>
    </w:p>
    <w:p w:rsidR="00B75098" w:rsidRDefault="00B75098" w:rsidP="00B75098">
      <w:pPr>
        <w:pStyle w:val="Default"/>
        <w:jc w:val="right"/>
        <w:rPr>
          <w:sz w:val="16"/>
          <w:szCs w:val="16"/>
        </w:rPr>
      </w:pPr>
    </w:p>
    <w:p w:rsidR="00B75098" w:rsidRDefault="00B75098" w:rsidP="00B75098">
      <w:pPr>
        <w:pStyle w:val="Default"/>
        <w:jc w:val="right"/>
        <w:rPr>
          <w:sz w:val="16"/>
          <w:szCs w:val="16"/>
        </w:rPr>
      </w:pPr>
    </w:p>
    <w:p w:rsidR="00B75098" w:rsidRDefault="00B75098" w:rsidP="00B75098">
      <w:pPr>
        <w:pStyle w:val="Default"/>
        <w:jc w:val="right"/>
        <w:rPr>
          <w:sz w:val="16"/>
          <w:szCs w:val="16"/>
        </w:rPr>
      </w:pPr>
    </w:p>
    <w:p w:rsidR="00B75098" w:rsidRDefault="00B75098" w:rsidP="00B7509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Таблица 2.5</w:t>
      </w:r>
    </w:p>
    <w:p w:rsidR="00B75098" w:rsidRDefault="00B2347B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left:0;text-align:left;margin-left:37.1pt;margin-top:14.05pt;width:404pt;height:228.7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">
            <v:textbox>
              <w:txbxContent>
                <w:p w:rsidR="00B75098" w:rsidRDefault="00B75098" w:rsidP="00B75098">
                  <w:pPr>
                    <w:pStyle w:val="ConsPlusNormal"/>
                    <w:keepNext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91050" cy="2800350"/>
                        <wp:effectExtent l="0" t="0" r="0" b="0"/>
                        <wp:docPr id="11" name="Диаграмма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75098" w:rsidRDefault="00B75098" w:rsidP="00B75098">
      <w:pPr>
        <w:pStyle w:val="ConsPlusNormal"/>
        <w:keepNext/>
        <w:widowControl/>
        <w:ind w:firstLine="540"/>
        <w:jc w:val="both"/>
      </w:pPr>
    </w:p>
    <w:p w:rsidR="00B75098" w:rsidRDefault="00B2347B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7B">
        <w:rPr>
          <w:noProof/>
        </w:rPr>
        <w:pict>
          <v:shape id="Поле 10" o:spid="_x0000_s1027" type="#_x0000_t202" style="position:absolute;left:0;text-align:left;margin-left:334.2pt;margin-top:11.8pt;width:77.25pt;height:3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" strokeweight="1pt">
            <v:stroke dashstyle="dash"/>
            <v:shadow color="#868686"/>
            <v:textbox>
              <w:txbxContent>
                <w:p w:rsidR="00B75098" w:rsidRDefault="00B75098" w:rsidP="00B7509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Трудоспособное</w:t>
                  </w:r>
                </w:p>
                <w:p w:rsidR="00B75098" w:rsidRDefault="00B75098" w:rsidP="00B750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Населения</w:t>
                  </w:r>
                </w:p>
                <w:p w:rsidR="00B75098" w:rsidRDefault="00B75098" w:rsidP="00B750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47,5 %</w:t>
                  </w:r>
                </w:p>
              </w:txbxContent>
            </v:textbox>
          </v:shape>
        </w:pict>
      </w:r>
      <w:r w:rsidRPr="00B2347B">
        <w:rPr>
          <w:noProof/>
        </w:rPr>
        <w:pict>
          <v:shape id="Поле 9" o:spid="_x0000_s1028" type="#_x0000_t202" style="position:absolute;left:0;text-align:left;margin-left:95.7pt;margin-top:128.35pt;width:77.25pt;height:35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" strokeweight="1pt">
            <v:stroke dashstyle="dash"/>
            <v:shadow color="#868686"/>
            <v:textbox>
              <w:txbxContent>
                <w:p w:rsidR="00B75098" w:rsidRDefault="00B75098" w:rsidP="00B750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Моложе трудоспособного возраста 32,2 %</w:t>
                  </w:r>
                </w:p>
              </w:txbxContent>
            </v:textbox>
          </v:shape>
        </w:pict>
      </w:r>
      <w:r w:rsidRPr="00B2347B">
        <w:rPr>
          <w:noProof/>
        </w:rPr>
        <w:pict>
          <v:shape id="Поле 8" o:spid="_x0000_s1029" type="#_x0000_t202" style="position:absolute;left:0;text-align:left;margin-left:95.7pt;margin-top:6.55pt;width:77.25pt;height:3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" strokeweight="1pt">
            <v:stroke dashstyle="dash"/>
            <v:shadow color="#868686"/>
            <v:textbox>
              <w:txbxContent>
                <w:p w:rsidR="00B75098" w:rsidRDefault="00B75098" w:rsidP="00B750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Старше трудового возраста 32,2 %</w:t>
                  </w:r>
                </w:p>
              </w:txbxContent>
            </v:textbox>
          </v:shape>
        </w:pict>
      </w: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половозрастной структуры указывает на преобладание женского пола (54%)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(46%). </w:t>
      </w: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75098" w:rsidP="00B7509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Таблица 2.6</w:t>
      </w:r>
    </w:p>
    <w:p w:rsidR="00B75098" w:rsidRDefault="00B75098" w:rsidP="00B750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5098" w:rsidRDefault="00B2347B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7B"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Стрелка вправо с вырезом 6" o:spid="_x0000_s1030" type="#_x0000_t94" style="position:absolute;left:0;text-align:left;margin-left:375.35pt;margin-top:15pt;width:74.25pt;height:65.25pt;rotation:18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" adj="16691">
            <v:textbox>
              <w:txbxContent>
                <w:p w:rsidR="00B75098" w:rsidRDefault="00B75098" w:rsidP="00B7509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54 % женский пол</w:t>
                  </w:r>
                </w:p>
              </w:txbxContent>
            </v:textbox>
          </v:shape>
        </w:pict>
      </w:r>
      <w:r w:rsidRPr="00B2347B">
        <w:rPr>
          <w:noProof/>
        </w:rPr>
        <w:pict>
          <v:shape id="Стрелка вправо с вырезом 7" o:spid="_x0000_s1031" type="#_x0000_t94" style="position:absolute;left:0;text-align:left;margin-left:44.7pt;margin-top:9.5pt;width:69.75pt;height: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">
            <v:textbox>
              <w:txbxContent>
                <w:p w:rsidR="00B75098" w:rsidRDefault="00B75098" w:rsidP="00B7509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46% мужской пол</w:t>
                  </w:r>
                </w:p>
              </w:txbxContent>
            </v:textbox>
          </v:shape>
        </w:pict>
      </w:r>
      <w:r w:rsidR="00B750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8800" cy="12573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является высокая смертность мужского населения.</w:t>
      </w:r>
    </w:p>
    <w:p w:rsidR="00B75098" w:rsidRDefault="00B75098" w:rsidP="00B750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Остается открытым вопрос по безработице, представляющей реальную угрозу для развития территории и являющейся основным фактором расширения бедности и деградации населения.</w:t>
      </w:r>
    </w:p>
    <w:p w:rsidR="00B75098" w:rsidRDefault="00B75098" w:rsidP="00B75098">
      <w:pPr>
        <w:pStyle w:val="ConsPlusNormal"/>
        <w:widowControl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65A50" w:rsidRDefault="00965A50"/>
    <w:sectPr w:rsidR="00965A50" w:rsidSect="00873243">
      <w:pgSz w:w="11906" w:h="16838"/>
      <w:pgMar w:top="425" w:right="851" w:bottom="709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591"/>
    <w:multiLevelType w:val="multilevel"/>
    <w:tmpl w:val="61265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92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86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5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0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5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4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9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54FE8"/>
    <w:rsid w:val="00046335"/>
    <w:rsid w:val="000D291F"/>
    <w:rsid w:val="00873243"/>
    <w:rsid w:val="00965A50"/>
    <w:rsid w:val="00B2347B"/>
    <w:rsid w:val="00B75098"/>
    <w:rsid w:val="00DA1E0C"/>
    <w:rsid w:val="00E5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5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5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5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5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2730696798493439E-2"/>
          <c:y val="8.9979550102249534E-2"/>
          <c:w val="0.90207156308851244"/>
          <c:h val="0.3885480572597138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земли сельскохозяйственного назначения 38,8%</c:v>
                </c:pt>
                <c:pt idx="1">
                  <c:v>земли населенных пунктов 2,3%</c:v>
                </c:pt>
                <c:pt idx="2">
                  <c:v>земли промышленности, энергетики, транспорта, связи 0,5 %</c:v>
                </c:pt>
                <c:pt idx="3">
                  <c:v>земли лесного фонда 36%</c:v>
                </c:pt>
                <c:pt idx="4">
                  <c:v>земли водного фонда 17,9%</c:v>
                </c:pt>
                <c:pt idx="5">
                  <c:v>земли особо охраняемых территорий и объектов 4,5%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38.800000000000004</c:v>
                </c:pt>
                <c:pt idx="1">
                  <c:v>2.2999999999999998</c:v>
                </c:pt>
                <c:pt idx="2">
                  <c:v>0.5</c:v>
                </c:pt>
                <c:pt idx="3">
                  <c:v>36</c:v>
                </c:pt>
                <c:pt idx="4">
                  <c:v>17.899999999999999</c:v>
                </c:pt>
                <c:pt idx="5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земли сельскохозяйственного назначения 38,8%</c:v>
                </c:pt>
                <c:pt idx="1">
                  <c:v>земли населенных пунктов 2,3%</c:v>
                </c:pt>
                <c:pt idx="2">
                  <c:v>земли промышленности, энергетики, транспорта, связи 0,5 %</c:v>
                </c:pt>
                <c:pt idx="3">
                  <c:v>земли лесного фонда 36%</c:v>
                </c:pt>
                <c:pt idx="4">
                  <c:v>земли водного фонда 17,9%</c:v>
                </c:pt>
                <c:pt idx="5">
                  <c:v>земли особо охраняемых территорий и объектов 4,5%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земли сельскохозяйственного назначения 38,8%</c:v>
                </c:pt>
                <c:pt idx="1">
                  <c:v>земли населенных пунктов 2,3%</c:v>
                </c:pt>
                <c:pt idx="2">
                  <c:v>земли промышленности, энергетики, транспорта, связи 0,5 %</c:v>
                </c:pt>
                <c:pt idx="3">
                  <c:v>земли лесного фонда 36%</c:v>
                </c:pt>
                <c:pt idx="4">
                  <c:v>земли водного фонда 17,9%</c:v>
                </c:pt>
                <c:pt idx="5">
                  <c:v>земли особо охраняемых территорий и объектов 4,5%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4.5197740112994364E-2"/>
          <c:y val="0.56237218813905909"/>
          <c:w val="0.91713747645951071"/>
          <c:h val="0.4171779141104294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5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74358974358973E-2"/>
          <c:y val="5.6782334384858073E-2"/>
          <c:w val="0.89194139194139199"/>
          <c:h val="0.675078864353312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2011г.                                  1535 чел.</c:v>
                </c:pt>
                <c:pt idx="1">
                  <c:v>2012г.                                    1519 чел.   </c:v>
                </c:pt>
                <c:pt idx="2">
                  <c:v>2013 г.                                   1511 чел.</c:v>
                </c:pt>
                <c:pt idx="3">
                  <c:v>2014г.                                        1509 чел.</c:v>
                </c:pt>
                <c:pt idx="4">
                  <c:v>план 2015г.                              1502 чел.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1535</c:v>
                </c:pt>
                <c:pt idx="1">
                  <c:v>1519</c:v>
                </c:pt>
                <c:pt idx="2">
                  <c:v>1514</c:v>
                </c:pt>
                <c:pt idx="3">
                  <c:v>1509</c:v>
                </c:pt>
                <c:pt idx="4">
                  <c:v>1502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1519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2011г.                                  1535 чел.</c:v>
                </c:pt>
                <c:pt idx="1">
                  <c:v>2012г.                                    1519 чел.   </c:v>
                </c:pt>
                <c:pt idx="2">
                  <c:v>2013 г.                                   1511 чел.</c:v>
                </c:pt>
                <c:pt idx="3">
                  <c:v>2014г.                                        1509 чел.</c:v>
                </c:pt>
                <c:pt idx="4">
                  <c:v>план 2015г.                              1502 чел.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2011г.                                  1535 чел.</c:v>
                </c:pt>
                <c:pt idx="1">
                  <c:v>2012г.                                    1519 чел.   </c:v>
                </c:pt>
                <c:pt idx="2">
                  <c:v>2013 г.                                   1511 чел.</c:v>
                </c:pt>
                <c:pt idx="3">
                  <c:v>2014г.                                        1509 чел.</c:v>
                </c:pt>
                <c:pt idx="4">
                  <c:v>план 2015г.                              1502 чел.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gapDepth val="0"/>
        <c:shape val="box"/>
        <c:axId val="144630528"/>
        <c:axId val="144632064"/>
        <c:axId val="0"/>
      </c:bar3DChart>
      <c:catAx>
        <c:axId val="1446305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632064"/>
        <c:crosses val="autoZero"/>
        <c:auto val="1"/>
        <c:lblAlgn val="ctr"/>
        <c:lblOffset val="100"/>
        <c:tickLblSkip val="1"/>
        <c:tickMarkSkip val="1"/>
      </c:catAx>
      <c:valAx>
        <c:axId val="1446320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6305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87205387205387E-2"/>
          <c:y val="7.1161048689138556E-2"/>
          <c:w val="0.75925925925925952"/>
          <c:h val="0.771535580524344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родивших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17</c:v>
                </c:pt>
                <c:pt idx="1">
                  <c:v>12</c:v>
                </c:pt>
                <c:pt idx="2">
                  <c:v>19</c:v>
                </c:pt>
                <c:pt idx="3">
                  <c:v>21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умерших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19</c:v>
                </c:pt>
                <c:pt idx="1">
                  <c:v>17</c:v>
                </c:pt>
                <c:pt idx="2">
                  <c:v>24</c:v>
                </c:pt>
                <c:pt idx="3">
                  <c:v>28</c:v>
                </c:pt>
                <c:pt idx="4">
                  <c:v>21</c:v>
                </c:pt>
              </c:numCache>
            </c:numRef>
          </c:val>
        </c:ser>
        <c:gapDepth val="0"/>
        <c:shape val="box"/>
        <c:axId val="72274304"/>
        <c:axId val="72275840"/>
        <c:axId val="0"/>
      </c:bar3DChart>
      <c:catAx>
        <c:axId val="722743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275840"/>
        <c:crosses val="autoZero"/>
        <c:auto val="1"/>
        <c:lblAlgn val="ctr"/>
        <c:lblOffset val="100"/>
        <c:tickLblSkip val="1"/>
        <c:tickMarkSkip val="1"/>
      </c:catAx>
      <c:valAx>
        <c:axId val="722758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27430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3164983164983219"/>
          <c:y val="0.40823970037453183"/>
          <c:w val="0.16161616161616169"/>
          <c:h val="0.1835205992509363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194539249146798E-2"/>
          <c:y val="7.7586206896551768E-2"/>
          <c:w val="0.79180887372013664"/>
          <c:h val="0.750000000000000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убыло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cat>
            <c:numRef>
              <c:f>Sheet1!$B$1:$I$1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28</c:v>
                </c:pt>
                <c:pt idx="1">
                  <c:v>54</c:v>
                </c:pt>
                <c:pt idx="2">
                  <c:v>59</c:v>
                </c:pt>
                <c:pt idx="3">
                  <c:v>36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прибыло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cat>
            <c:numRef>
              <c:f>Sheet1!$B$1:$I$1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35</c:v>
                </c:pt>
                <c:pt idx="1">
                  <c:v>51</c:v>
                </c:pt>
                <c:pt idx="2">
                  <c:v>37</c:v>
                </c:pt>
                <c:pt idx="3">
                  <c:v>23</c:v>
                </c:pt>
                <c:pt idx="4">
                  <c:v>25</c:v>
                </c:pt>
              </c:numCache>
            </c:numRef>
          </c:val>
        </c:ser>
        <c:gapDepth val="0"/>
        <c:shape val="box"/>
        <c:axId val="72317952"/>
        <c:axId val="72323840"/>
        <c:axId val="0"/>
      </c:bar3DChart>
      <c:catAx>
        <c:axId val="723179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323840"/>
        <c:crosses val="autoZero"/>
        <c:auto val="1"/>
        <c:lblAlgn val="ctr"/>
        <c:lblOffset val="100"/>
        <c:tickLblSkip val="1"/>
        <c:tickMarkSkip val="1"/>
      </c:catAx>
      <c:valAx>
        <c:axId val="723238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31795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2593856655290099"/>
          <c:y val="0.40517241379310348"/>
          <c:w val="0.16894197952218437"/>
          <c:h val="0.1939655172413793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8.2627118644067798E-2"/>
          <c:y val="0.22535211267605632"/>
          <c:w val="0.8389830508474575"/>
          <c:h val="0.5528169014084505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47.5</c:v>
                </c:pt>
                <c:pt idx="1">
                  <c:v>20.3</c:v>
                </c:pt>
                <c:pt idx="2">
                  <c:v>32.200000000000003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noFill/>
        <a:ln w="2539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6059322033898297"/>
          <c:y val="0.13934426229508196"/>
          <c:w val="0.48093220338983073"/>
          <c:h val="0.7377049180327871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54</c:v>
                </c:pt>
                <c:pt idx="1">
                  <c:v>46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noFill/>
        <a:ln w="25397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771</Words>
  <Characters>4399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SENKINO-2</dc:creator>
  <cp:keywords/>
  <dc:description/>
  <cp:lastModifiedBy>Пользователь</cp:lastModifiedBy>
  <cp:revision>2</cp:revision>
  <dcterms:created xsi:type="dcterms:W3CDTF">2015-06-09T02:59:00Z</dcterms:created>
  <dcterms:modified xsi:type="dcterms:W3CDTF">2015-06-09T02:59:00Z</dcterms:modified>
</cp:coreProperties>
</file>